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3C8D" w14:textId="77777777" w:rsidR="00796D6F" w:rsidRDefault="00796D6F" w:rsidP="00796D6F">
      <w:pPr>
        <w:jc w:val="both"/>
        <w:rPr>
          <w:b/>
          <w:lang w:val="en-GB"/>
        </w:rPr>
      </w:pPr>
    </w:p>
    <w:p w14:paraId="67E4644F" w14:textId="77777777" w:rsidR="00796D6F" w:rsidRDefault="00796D6F" w:rsidP="00796D6F">
      <w:pPr>
        <w:jc w:val="both"/>
        <w:rPr>
          <w:b/>
          <w:lang w:val="en-GB"/>
        </w:rPr>
      </w:pPr>
    </w:p>
    <w:p w14:paraId="6D3427B4" w14:textId="77777777" w:rsidR="00796D6F" w:rsidRDefault="00796D6F" w:rsidP="00796D6F">
      <w:pPr>
        <w:jc w:val="both"/>
        <w:rPr>
          <w:b/>
          <w:lang w:val="en-GB"/>
        </w:rPr>
      </w:pPr>
    </w:p>
    <w:p w14:paraId="03D9C29B" w14:textId="15D0352D" w:rsidR="00796D6F" w:rsidRPr="00796D6F" w:rsidRDefault="00796D6F" w:rsidP="00796D6F">
      <w:pPr>
        <w:jc w:val="both"/>
        <w:rPr>
          <w:b/>
          <w:lang w:val="mk-MK"/>
        </w:rPr>
      </w:pPr>
      <w:r>
        <w:rPr>
          <w:b/>
          <w:lang w:val="mk-MK"/>
        </w:rPr>
        <w:t>На 21. 01.2025 год. завршува транзицискиот период за воведување на НКТС фаза 5 и</w:t>
      </w:r>
      <w:r w:rsidRPr="00796D6F">
        <w:rPr>
          <w:b/>
          <w:lang w:val="mk-MK"/>
        </w:rPr>
        <w:t xml:space="preserve"> сите национални ад</w:t>
      </w:r>
      <w:r>
        <w:rPr>
          <w:b/>
          <w:lang w:val="mk-MK"/>
        </w:rPr>
        <w:t xml:space="preserve">министрации, </w:t>
      </w:r>
      <w:r w:rsidRPr="00796D6F">
        <w:rPr>
          <w:b/>
          <w:lang w:val="mk-MK"/>
        </w:rPr>
        <w:t xml:space="preserve">членки на Конвенцијата за заеднички транзит (CTC) ќе ја имплементираат финалната верзија на Нов компјутеризиран транзитен систем (NCTS) Фаза 5. </w:t>
      </w:r>
    </w:p>
    <w:p w14:paraId="016242DB" w14:textId="55D661AE" w:rsidR="00796D6F" w:rsidRDefault="00796D6F" w:rsidP="00796D6F">
      <w:pPr>
        <w:jc w:val="both"/>
        <w:rPr>
          <w:b/>
          <w:lang w:val="mk-MK"/>
        </w:rPr>
      </w:pPr>
      <w:r>
        <w:rPr>
          <w:b/>
          <w:lang w:val="mk-MK"/>
        </w:rPr>
        <w:t>Подолу поконкретно за разликите кои се однесуваат на верзијата на НКТС 5 во пост транзицискиот период.</w:t>
      </w:r>
    </w:p>
    <w:p w14:paraId="7F067614" w14:textId="77777777" w:rsidR="00796D6F" w:rsidRDefault="00796D6F" w:rsidP="00796D6F">
      <w:pPr>
        <w:jc w:val="both"/>
        <w:rPr>
          <w:b/>
          <w:lang w:val="mk-MK"/>
        </w:rPr>
      </w:pPr>
    </w:p>
    <w:p w14:paraId="039EF250" w14:textId="67FA0E60" w:rsidR="00796D6F" w:rsidRPr="00382B42" w:rsidRDefault="00796D6F" w:rsidP="00796D6F">
      <w:pPr>
        <w:jc w:val="both"/>
        <w:rPr>
          <w:b/>
        </w:rPr>
      </w:pPr>
      <w:r w:rsidRPr="00382B42">
        <w:rPr>
          <w:b/>
          <w:lang w:val="mk-MK"/>
        </w:rPr>
        <w:t>Податоци за пратката (</w:t>
      </w:r>
      <w:r w:rsidRPr="00382B42">
        <w:rPr>
          <w:b/>
        </w:rPr>
        <w:t>Consignment)</w:t>
      </w:r>
    </w:p>
    <w:p w14:paraId="03C2A569" w14:textId="77777777" w:rsidR="00796D6F" w:rsidRDefault="00796D6F" w:rsidP="00796D6F">
      <w:pPr>
        <w:jc w:val="both"/>
        <w:rPr>
          <w:u w:val="single"/>
          <w:lang w:val="mk-MK"/>
        </w:rPr>
      </w:pPr>
      <w:r w:rsidRPr="00D71EA9">
        <w:rPr>
          <w:u w:val="single"/>
          <w:lang w:val="mk-MK"/>
        </w:rPr>
        <w:t>Испраќач:</w:t>
      </w:r>
    </w:p>
    <w:p w14:paraId="5D504CB5" w14:textId="77777777" w:rsidR="00796D6F" w:rsidRPr="00D71EA9" w:rsidRDefault="00796D6F" w:rsidP="00796D6F">
      <w:pPr>
        <w:jc w:val="both"/>
        <w:rPr>
          <w:lang w:val="mk-MK"/>
        </w:rPr>
      </w:pPr>
      <w:r w:rsidRPr="00D71EA9">
        <w:rPr>
          <w:lang w:val="mk-MK"/>
        </w:rPr>
        <w:t xml:space="preserve">До сега во НКТС 4 </w:t>
      </w:r>
      <w:r>
        <w:rPr>
          <w:lang w:val="mk-MK"/>
        </w:rPr>
        <w:t xml:space="preserve">кога имаше повеќе испраќачи и примачи податоците за нив се внесуваа соодветно во наименуванијата, засебно за секој испраќач/примач а во генералните податоци овие рубрики остануваа празни. </w:t>
      </w:r>
    </w:p>
    <w:p w14:paraId="6C9B9FCD" w14:textId="77777777" w:rsidR="00796D6F" w:rsidRDefault="00796D6F" w:rsidP="00796D6F">
      <w:pPr>
        <w:jc w:val="both"/>
        <w:rPr>
          <w:lang w:val="mk-MK"/>
        </w:rPr>
      </w:pPr>
      <w:r>
        <w:rPr>
          <w:lang w:val="mk-MK"/>
        </w:rPr>
        <w:t xml:space="preserve">Во НКТС 5 постои можност кога една транзитна декларација  содржи повеќе испраќачи тие да бидат групирани на ниво на подзаглавје во пратката </w:t>
      </w:r>
      <w:r>
        <w:t>(House Consignment)</w:t>
      </w:r>
      <w:r>
        <w:rPr>
          <w:lang w:val="mk-MK"/>
        </w:rPr>
        <w:t xml:space="preserve"> со засебни наименувнија за различни примачи на стоката ставена во постапка од тој испраќач. </w:t>
      </w:r>
    </w:p>
    <w:p w14:paraId="294E6041" w14:textId="77777777" w:rsidR="00796D6F" w:rsidRDefault="00796D6F" w:rsidP="00796D6F">
      <w:pPr>
        <w:jc w:val="both"/>
        <w:rPr>
          <w:lang w:val="mk-MK"/>
        </w:rPr>
      </w:pPr>
      <w:r>
        <w:rPr>
          <w:lang w:val="mk-MK"/>
        </w:rPr>
        <w:t>Оваа опција нема да се користи до 21 јануари (кога завршува транзициониот период).</w:t>
      </w:r>
    </w:p>
    <w:p w14:paraId="3ECF5CEE" w14:textId="77777777" w:rsidR="00796D6F" w:rsidRDefault="00796D6F" w:rsidP="00796D6F">
      <w:pPr>
        <w:jc w:val="both"/>
        <w:rPr>
          <w:lang w:val="mk-MK"/>
        </w:rPr>
      </w:pPr>
      <w:r w:rsidRPr="00FD1945">
        <w:rPr>
          <w:u w:val="single"/>
          <w:lang w:val="mk-MK"/>
        </w:rPr>
        <w:t>Тарифен број</w:t>
      </w:r>
      <w:r>
        <w:rPr>
          <w:lang w:val="mk-MK"/>
        </w:rPr>
        <w:t>:</w:t>
      </w:r>
    </w:p>
    <w:p w14:paraId="342CDC98" w14:textId="77777777" w:rsidR="00796D6F" w:rsidRDefault="00796D6F" w:rsidP="00796D6F">
      <w:pPr>
        <w:jc w:val="both"/>
        <w:rPr>
          <w:lang w:val="mk-MK"/>
        </w:rPr>
      </w:pPr>
      <w:r>
        <w:rPr>
          <w:lang w:val="mk-MK"/>
        </w:rPr>
        <w:t xml:space="preserve">Во НКТС 5 тарифниот број е задолжителен податок. Се внесува соодветно во секое наименувание на ниво од 6 карактери. </w:t>
      </w:r>
    </w:p>
    <w:p w14:paraId="38178DA8" w14:textId="77777777" w:rsidR="00796D6F" w:rsidRDefault="00796D6F" w:rsidP="00796D6F">
      <w:pPr>
        <w:jc w:val="both"/>
        <w:rPr>
          <w:lang w:val="mk-MK"/>
        </w:rPr>
      </w:pPr>
      <w:r w:rsidRPr="00423ECC">
        <w:rPr>
          <w:u w:val="single"/>
          <w:lang w:val="mk-MK"/>
        </w:rPr>
        <w:t>Вид на пакување</w:t>
      </w:r>
      <w:r>
        <w:rPr>
          <w:lang w:val="mk-MK"/>
        </w:rPr>
        <w:t>:</w:t>
      </w:r>
    </w:p>
    <w:p w14:paraId="7AA24915" w14:textId="77777777" w:rsidR="00796D6F" w:rsidRDefault="00796D6F" w:rsidP="00796D6F">
      <w:pPr>
        <w:jc w:val="both"/>
        <w:rPr>
          <w:lang w:val="mk-MK"/>
        </w:rPr>
      </w:pPr>
      <w:r>
        <w:rPr>
          <w:lang w:val="mk-MK"/>
        </w:rPr>
        <w:t>Број на пакети и нивна ознака е задолжителен податок. Има воведено нови ознаки во овој дел.</w:t>
      </w:r>
    </w:p>
    <w:p w14:paraId="3EDAAFC7" w14:textId="77777777" w:rsidR="00796D6F" w:rsidRDefault="00796D6F" w:rsidP="00796D6F">
      <w:pPr>
        <w:jc w:val="both"/>
        <w:rPr>
          <w:lang w:val="mk-MK"/>
        </w:rPr>
      </w:pPr>
      <w:r w:rsidRPr="008654A4">
        <w:rPr>
          <w:u w:val="single"/>
          <w:lang w:val="mk-MK"/>
        </w:rPr>
        <w:t>Претходен документ</w:t>
      </w:r>
      <w:r>
        <w:rPr>
          <w:lang w:val="mk-MK"/>
        </w:rPr>
        <w:t>:</w:t>
      </w:r>
    </w:p>
    <w:p w14:paraId="66963697" w14:textId="77777777" w:rsidR="00796D6F" w:rsidRDefault="00796D6F" w:rsidP="00796D6F">
      <w:pPr>
        <w:jc w:val="both"/>
        <w:rPr>
          <w:lang w:val="mk-MK"/>
        </w:rPr>
      </w:pPr>
      <w:r w:rsidRPr="00296C4E">
        <w:rPr>
          <w:lang w:val="mk-MK"/>
        </w:rPr>
        <w:t xml:space="preserve">Кога се користи постапка на </w:t>
      </w:r>
      <w:r w:rsidRPr="00296C4E">
        <w:rPr>
          <w:b/>
          <w:lang w:val="mk-MK"/>
        </w:rPr>
        <w:t>извозен транзит</w:t>
      </w:r>
      <w:r w:rsidRPr="00296C4E">
        <w:rPr>
          <w:lang w:val="mk-MK"/>
        </w:rPr>
        <w:t xml:space="preserve"> задолжително се избира тип на документ</w:t>
      </w:r>
      <w:r w:rsidRPr="00296C4E">
        <w:t xml:space="preserve"> </w:t>
      </w:r>
      <w:r w:rsidRPr="00296C4E">
        <w:rPr>
          <w:b/>
        </w:rPr>
        <w:t>NMRN</w:t>
      </w:r>
      <w:r w:rsidRPr="00296C4E">
        <w:rPr>
          <w:b/>
          <w:lang w:val="mk-MK"/>
        </w:rPr>
        <w:t xml:space="preserve"> – </w:t>
      </w:r>
      <w:r w:rsidRPr="00296C4E">
        <w:rPr>
          <w:b/>
        </w:rPr>
        <w:t>Declaration/notification MRN</w:t>
      </w:r>
      <w:r w:rsidRPr="00296C4E">
        <w:rPr>
          <w:lang w:val="mk-MK"/>
        </w:rPr>
        <w:t xml:space="preserve"> и се внесува реферетниот број на извозната декларација.</w:t>
      </w:r>
      <w:r>
        <w:rPr>
          <w:lang w:val="mk-MK"/>
        </w:rPr>
        <w:t xml:space="preserve"> Извозниот модул нема да биде поврзан со НКТС 5, исто како што не беше и со НКТС 4.  Во сите други случаи при употреба на претходен документ се користи соодветен избор на тип на документот од паѓачкото мени.</w:t>
      </w:r>
    </w:p>
    <w:p w14:paraId="2BB91BC5" w14:textId="77777777" w:rsidR="00796D6F" w:rsidRDefault="00796D6F" w:rsidP="00796D6F">
      <w:pPr>
        <w:jc w:val="both"/>
        <w:rPr>
          <w:lang w:val="mk-MK"/>
        </w:rPr>
      </w:pPr>
      <w:r w:rsidRPr="00071642">
        <w:rPr>
          <w:u w:val="single"/>
          <w:lang w:val="mk-MK"/>
        </w:rPr>
        <w:t>Другите документи</w:t>
      </w:r>
      <w:r>
        <w:rPr>
          <w:lang w:val="mk-MK"/>
        </w:rPr>
        <w:t xml:space="preserve"> кои содржат податоци за транзитот се поделени во неколку групи:</w:t>
      </w:r>
    </w:p>
    <w:p w14:paraId="776B1108" w14:textId="77777777" w:rsidR="00796D6F" w:rsidRDefault="00796D6F" w:rsidP="00796D6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Придружни документи</w:t>
      </w:r>
    </w:p>
    <w:p w14:paraId="61795026" w14:textId="77777777" w:rsidR="00796D6F" w:rsidRDefault="00796D6F" w:rsidP="00796D6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Транспортни документи</w:t>
      </w:r>
    </w:p>
    <w:p w14:paraId="06049F8B" w14:textId="77777777" w:rsidR="00796D6F" w:rsidRDefault="00796D6F" w:rsidP="00796D6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Дополнителни референци</w:t>
      </w:r>
    </w:p>
    <w:p w14:paraId="7A6953E3" w14:textId="77777777" w:rsidR="00796D6F" w:rsidRDefault="00796D6F" w:rsidP="00796D6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Дополнителни информации</w:t>
      </w:r>
    </w:p>
    <w:p w14:paraId="35C414BD" w14:textId="77777777" w:rsidR="00796D6F" w:rsidRPr="004A3A8A" w:rsidRDefault="00796D6F" w:rsidP="00796D6F">
      <w:pPr>
        <w:jc w:val="both"/>
        <w:rPr>
          <w:lang w:val="mk-MK"/>
        </w:rPr>
      </w:pPr>
      <w:r>
        <w:rPr>
          <w:lang w:val="mk-MK"/>
        </w:rPr>
        <w:t>И треба да се пополнуваат соодветно со избор на тип на документ во секоја група.</w:t>
      </w:r>
      <w:r>
        <w:t xml:space="preserve"> </w:t>
      </w:r>
      <w:r>
        <w:rPr>
          <w:lang w:val="mk-MK"/>
        </w:rPr>
        <w:t xml:space="preserve">Транспортниот документ е во меѓусебна зависност со употребата на </w:t>
      </w:r>
      <w:r>
        <w:t>UCR (Unique Consignment Reference Number).</w:t>
      </w:r>
    </w:p>
    <w:p w14:paraId="60515732" w14:textId="77777777" w:rsidR="007D6FA1" w:rsidRDefault="007D6FA1"/>
    <w:p w14:paraId="61783A00" w14:textId="77777777" w:rsidR="00796D6F" w:rsidRDefault="00796D6F" w:rsidP="00796D6F"/>
    <w:p w14:paraId="5C55F92D" w14:textId="77777777" w:rsidR="00796D6F" w:rsidRDefault="00796D6F" w:rsidP="00796D6F">
      <w:r>
        <w:t>1.004 / 5.000</w:t>
      </w:r>
    </w:p>
    <w:p w14:paraId="694511C1" w14:textId="124D47F3" w:rsidR="00796D6F" w:rsidRDefault="00796D6F" w:rsidP="00796D6F">
      <w:proofErr w:type="spellStart"/>
      <w:r>
        <w:t>Достапни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повеќе</w:t>
      </w:r>
      <w:proofErr w:type="spellEnd"/>
      <w:r>
        <w:t xml:space="preserve"> </w:t>
      </w:r>
      <w:r>
        <w:rPr>
          <w:lang w:val="mk-MK"/>
        </w:rPr>
        <w:t xml:space="preserve"> </w:t>
      </w:r>
      <w:r w:rsidR="003462B8">
        <w:rPr>
          <w:lang w:val="mk-MK"/>
        </w:rPr>
        <w:t>податоци</w:t>
      </w:r>
      <w:proofErr w:type="gramEnd"/>
      <w:r w:rsidR="003462B8">
        <w:rPr>
          <w:lang w:val="mk-MK"/>
        </w:rPr>
        <w:t xml:space="preserve"> на ниво на испраќач,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поедноставена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r>
        <w:rPr>
          <w:lang w:val="mk-MK"/>
        </w:rPr>
        <w:t>редовна</w:t>
      </w:r>
      <w:r>
        <w:t xml:space="preserve"> </w:t>
      </w:r>
      <w:r w:rsidR="003462B8">
        <w:rPr>
          <w:lang w:val="mk-MK"/>
        </w:rPr>
        <w:t>постапка</w:t>
      </w:r>
      <w:r>
        <w:t xml:space="preserve">.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декларира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испраќачот</w:t>
      </w:r>
      <w:proofErr w:type="spellEnd"/>
      <w:r>
        <w:t xml:space="preserve"> (</w:t>
      </w:r>
      <w:proofErr w:type="spellStart"/>
      <w:r>
        <w:t>извозникот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r>
        <w:t>e</w:t>
      </w:r>
      <w:r>
        <w:t>мачот</w:t>
      </w:r>
      <w:proofErr w:type="spellEnd"/>
      <w:r>
        <w:t xml:space="preserve"> (</w:t>
      </w:r>
      <w:proofErr w:type="spellStart"/>
      <w:r>
        <w:t>увозникот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 w:rsidR="003462B8">
        <w:rPr>
          <w:lang w:val="mk-MK"/>
        </w:rPr>
        <w:t xml:space="preserve"> </w:t>
      </w:r>
      <w:r w:rsidR="003462B8" w:rsidRPr="003462B8">
        <w:rPr>
          <w:lang w:val="mk-MK"/>
        </w:rPr>
        <w:t>податоци на ниво на испраќач</w:t>
      </w:r>
      <w:r>
        <w:t xml:space="preserve">, </w:t>
      </w:r>
      <w:proofErr w:type="spellStart"/>
      <w:r>
        <w:t>наместо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испраќачот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примачот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3462B8">
        <w:rPr>
          <w:lang w:val="mk-MK"/>
        </w:rPr>
        <w:t>пратка</w:t>
      </w:r>
      <w:r>
        <w:t>.</w:t>
      </w:r>
    </w:p>
    <w:p w14:paraId="19C71439" w14:textId="77777777" w:rsidR="00796D6F" w:rsidRDefault="00796D6F" w:rsidP="00796D6F"/>
    <w:p w14:paraId="055F92E5" w14:textId="44C22C0B" w:rsidR="00796D6F" w:rsidRDefault="003462B8" w:rsidP="00796D6F">
      <w:r>
        <w:rPr>
          <w:lang w:val="mk-MK"/>
        </w:rPr>
        <w:t>Испраќачи</w:t>
      </w:r>
      <w:r w:rsidR="00796D6F" w:rsidRPr="00796D6F">
        <w:t xml:space="preserve"> </w:t>
      </w:r>
      <w:proofErr w:type="spellStart"/>
      <w:r w:rsidR="00796D6F">
        <w:t>може</w:t>
      </w:r>
      <w:proofErr w:type="spellEnd"/>
      <w:r w:rsidR="00796D6F">
        <w:t xml:space="preserve"> </w:t>
      </w:r>
      <w:proofErr w:type="spellStart"/>
      <w:r w:rsidR="00796D6F">
        <w:t>да</w:t>
      </w:r>
      <w:proofErr w:type="spellEnd"/>
      <w:r w:rsidR="00796D6F">
        <w:t xml:space="preserve"> </w:t>
      </w:r>
      <w:proofErr w:type="spellStart"/>
      <w:r w:rsidR="00796D6F">
        <w:t>се</w:t>
      </w:r>
      <w:proofErr w:type="spellEnd"/>
      <w:r w:rsidR="00796D6F">
        <w:t xml:space="preserve"> </w:t>
      </w:r>
      <w:proofErr w:type="spellStart"/>
      <w:r w:rsidR="00796D6F">
        <w:t>декларираат</w:t>
      </w:r>
      <w:proofErr w:type="spellEnd"/>
      <w:r w:rsidR="00796D6F">
        <w:t xml:space="preserve"> </w:t>
      </w:r>
      <w:proofErr w:type="spellStart"/>
      <w:r w:rsidR="00796D6F">
        <w:t>на</w:t>
      </w:r>
      <w:proofErr w:type="spellEnd"/>
      <w:r w:rsidR="00796D6F">
        <w:t xml:space="preserve"> 3 </w:t>
      </w:r>
      <w:proofErr w:type="spellStart"/>
      <w:r w:rsidR="00796D6F">
        <w:t>различни</w:t>
      </w:r>
      <w:proofErr w:type="spellEnd"/>
      <w:r w:rsidR="00796D6F">
        <w:t xml:space="preserve"> </w:t>
      </w:r>
      <w:proofErr w:type="spellStart"/>
      <w:r w:rsidR="00796D6F">
        <w:t>начини</w:t>
      </w:r>
      <w:proofErr w:type="spellEnd"/>
      <w:r w:rsidR="00796D6F">
        <w:t>:</w:t>
      </w:r>
    </w:p>
    <w:p w14:paraId="3E9319E8" w14:textId="77777777" w:rsidR="00796D6F" w:rsidRDefault="00796D6F" w:rsidP="00796D6F"/>
    <w:p w14:paraId="2C55B465" w14:textId="3B37570B" w:rsidR="00796D6F" w:rsidRDefault="00796D6F" w:rsidP="00796D6F">
      <w:pPr>
        <w:pStyle w:val="ListParagraph"/>
        <w:numPr>
          <w:ilvl w:val="0"/>
          <w:numId w:val="2"/>
        </w:numPr>
      </w:pPr>
      <w:proofErr w:type="spellStart"/>
      <w:r>
        <w:t>Еден</w:t>
      </w:r>
      <w:proofErr w:type="spellEnd"/>
      <w:r>
        <w:t xml:space="preserve"> </w:t>
      </w:r>
      <w:proofErr w:type="spellStart"/>
      <w:r>
        <w:t>испраќач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испраќа</w:t>
      </w:r>
      <w:proofErr w:type="spellEnd"/>
      <w:r>
        <w:t xml:space="preserve"> </w:t>
      </w:r>
      <w:proofErr w:type="spellStart"/>
      <w:r>
        <w:t>стока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примачи</w:t>
      </w:r>
      <w:proofErr w:type="spellEnd"/>
      <w:r>
        <w:t>.</w:t>
      </w:r>
    </w:p>
    <w:p w14:paraId="6EF65BBC" w14:textId="2BB24784" w:rsidR="00796D6F" w:rsidRDefault="00796D6F" w:rsidP="00796D6F">
      <w:pPr>
        <w:pStyle w:val="ListParagraph"/>
        <w:numPr>
          <w:ilvl w:val="0"/>
          <w:numId w:val="2"/>
        </w:numPr>
      </w:pPr>
      <w:proofErr w:type="spellStart"/>
      <w:r>
        <w:t>Повеќе</w:t>
      </w:r>
      <w:proofErr w:type="spellEnd"/>
      <w:r>
        <w:t xml:space="preserve"> </w:t>
      </w:r>
      <w:proofErr w:type="spellStart"/>
      <w:r>
        <w:t>испраќачи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испраќаат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t>.</w:t>
      </w:r>
    </w:p>
    <w:p w14:paraId="7C2A1B5A" w14:textId="5EDAD914" w:rsidR="00796D6F" w:rsidRDefault="00796D6F" w:rsidP="00796D6F">
      <w:pPr>
        <w:pStyle w:val="ListParagraph"/>
        <w:numPr>
          <w:ilvl w:val="0"/>
          <w:numId w:val="2"/>
        </w:numPr>
      </w:pPr>
      <w:proofErr w:type="spellStart"/>
      <w:r>
        <w:t>Повеќе</w:t>
      </w:r>
      <w:proofErr w:type="spellEnd"/>
      <w:r>
        <w:t xml:space="preserve"> </w:t>
      </w:r>
      <w:proofErr w:type="spellStart"/>
      <w:r>
        <w:t>испраќачи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испраќаат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примачи</w:t>
      </w:r>
      <w:proofErr w:type="spellEnd"/>
      <w:r>
        <w:t>.</w:t>
      </w:r>
    </w:p>
    <w:p w14:paraId="766846CD" w14:textId="77777777" w:rsidR="00796D6F" w:rsidRDefault="00796D6F" w:rsidP="00796D6F">
      <w:proofErr w:type="spellStart"/>
      <w:r>
        <w:t>Откако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воспостават</w:t>
      </w:r>
      <w:proofErr w:type="spellEnd"/>
      <w:r>
        <w:t xml:space="preserve"> </w:t>
      </w:r>
      <w:proofErr w:type="spellStart"/>
      <w:r>
        <w:t>конечните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големината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декларацијата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зголеми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овозможи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пријавите</w:t>
      </w:r>
      <w:proofErr w:type="spellEnd"/>
      <w:r>
        <w:t xml:space="preserve"> </w:t>
      </w:r>
      <w:proofErr w:type="spellStart"/>
      <w:r>
        <w:t>домашни</w:t>
      </w:r>
      <w:proofErr w:type="spellEnd"/>
      <w:r>
        <w:t xml:space="preserve"> </w:t>
      </w:r>
      <w:proofErr w:type="spellStart"/>
      <w:r>
        <w:t>пратки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1999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транзитна</w:t>
      </w:r>
      <w:proofErr w:type="spellEnd"/>
      <w:r>
        <w:t xml:space="preserve"> </w:t>
      </w:r>
      <w:proofErr w:type="spellStart"/>
      <w:r>
        <w:t>декларација</w:t>
      </w:r>
      <w:proofErr w:type="spellEnd"/>
      <w:r>
        <w:t xml:space="preserve">.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домашна</w:t>
      </w:r>
      <w:proofErr w:type="spellEnd"/>
      <w:r>
        <w:t xml:space="preserve"> </w:t>
      </w:r>
      <w:proofErr w:type="spellStart"/>
      <w:r>
        <w:t>пратка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содржи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999 </w:t>
      </w:r>
      <w:proofErr w:type="spellStart"/>
      <w:r>
        <w:t>ставки</w:t>
      </w:r>
      <w:proofErr w:type="spellEnd"/>
      <w:r>
        <w:t xml:space="preserve">. </w:t>
      </w:r>
      <w:proofErr w:type="spellStart"/>
      <w:r>
        <w:t>Сепак</w:t>
      </w:r>
      <w:proofErr w:type="spellEnd"/>
      <w:r>
        <w:t xml:space="preserve">, </w:t>
      </w:r>
      <w:proofErr w:type="spellStart"/>
      <w:r>
        <w:t>декларацијата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содржи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1999 </w:t>
      </w:r>
      <w:proofErr w:type="spellStart"/>
      <w:r>
        <w:t>ставки</w:t>
      </w:r>
      <w:proofErr w:type="spellEnd"/>
      <w:r>
        <w:t xml:space="preserve"> </w:t>
      </w:r>
      <w:proofErr w:type="spellStart"/>
      <w:r>
        <w:t>вкупно</w:t>
      </w:r>
      <w:proofErr w:type="spellEnd"/>
      <w:r>
        <w:t>.</w:t>
      </w:r>
    </w:p>
    <w:p w14:paraId="2843C2E3" w14:textId="21A9B1D8" w:rsidR="00796D6F" w:rsidRDefault="00796D6F" w:rsidP="00796D6F">
      <w:proofErr w:type="spellStart"/>
      <w:r>
        <w:t>Транзитната</w:t>
      </w:r>
      <w:proofErr w:type="spellEnd"/>
      <w:r>
        <w:t xml:space="preserve"> </w:t>
      </w:r>
      <w:proofErr w:type="spellStart"/>
      <w:r>
        <w:t>декларација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започне</w:t>
      </w:r>
      <w:proofErr w:type="spellEnd"/>
      <w:r>
        <w:t xml:space="preserve"> и </w:t>
      </w:r>
      <w:proofErr w:type="spellStart"/>
      <w:r>
        <w:t>заврши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.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испраќачот</w:t>
      </w:r>
      <w:proofErr w:type="spellEnd"/>
      <w:r>
        <w:t xml:space="preserve"> </w:t>
      </w:r>
      <w:proofErr w:type="spellStart"/>
      <w:r>
        <w:t>сака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примачи</w:t>
      </w:r>
      <w:proofErr w:type="spellEnd"/>
      <w:r>
        <w:t xml:space="preserve">, </w:t>
      </w:r>
      <w:proofErr w:type="spellStart"/>
      <w:r>
        <w:t>тогаш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пополнат</w:t>
      </w:r>
      <w:proofErr w:type="spellEnd"/>
      <w:r>
        <w:t xml:space="preserve"> </w:t>
      </w:r>
      <w:proofErr w:type="spellStart"/>
      <w:r>
        <w:t>посебни</w:t>
      </w:r>
      <w:proofErr w:type="spellEnd"/>
      <w:r>
        <w:t xml:space="preserve"> </w:t>
      </w:r>
      <w:proofErr w:type="spellStart"/>
      <w:r>
        <w:t>декларации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транзит</w:t>
      </w:r>
      <w:proofErr w:type="spellEnd"/>
      <w:r>
        <w:t>.</w:t>
      </w:r>
    </w:p>
    <w:p w14:paraId="2F3A152F" w14:textId="13A40BAE" w:rsidR="003462B8" w:rsidRPr="003462B8" w:rsidRDefault="003462B8" w:rsidP="003462B8">
      <w:pPr>
        <w:rPr>
          <w:lang w:val="mk-MK"/>
        </w:rPr>
      </w:pPr>
      <w:r w:rsidRPr="003462B8">
        <w:rPr>
          <w:lang w:val="mk-MK"/>
        </w:rPr>
        <w:t xml:space="preserve">Една транзитна декларација со повеќе примачи мора да биде „пристигната“ и истоварена на една локација (како што се просториите на овластен примач) бидејќи не може да се „пристигне“ и истовари на повеќе локации. Ова исто така важи и за нормално движење на постапката што ќе биде </w:t>
      </w:r>
      <w:r>
        <w:rPr>
          <w:lang w:val="mk-MK"/>
        </w:rPr>
        <w:t>презентирано</w:t>
      </w:r>
      <w:r w:rsidRPr="003462B8">
        <w:rPr>
          <w:lang w:val="mk-MK"/>
        </w:rPr>
        <w:t xml:space="preserve"> или „пристигнато“ на </w:t>
      </w:r>
      <w:r>
        <w:rPr>
          <w:lang w:val="mk-MK"/>
        </w:rPr>
        <w:t>гранична царинска испостава</w:t>
      </w:r>
      <w:r w:rsidRPr="003462B8">
        <w:rPr>
          <w:lang w:val="mk-MK"/>
        </w:rPr>
        <w:t>.</w:t>
      </w:r>
    </w:p>
    <w:p w14:paraId="624B65EB" w14:textId="77777777" w:rsidR="003462B8" w:rsidRPr="003462B8" w:rsidRDefault="003462B8" w:rsidP="003462B8">
      <w:pPr>
        <w:rPr>
          <w:lang w:val="mk-MK"/>
        </w:rPr>
      </w:pPr>
    </w:p>
    <w:p w14:paraId="0191CAE8" w14:textId="323A1245" w:rsidR="003462B8" w:rsidRPr="003462B8" w:rsidRDefault="003462B8" w:rsidP="003462B8">
      <w:pPr>
        <w:rPr>
          <w:lang w:val="mk-MK"/>
        </w:rPr>
      </w:pPr>
      <w:r w:rsidRPr="003462B8">
        <w:rPr>
          <w:lang w:val="mk-MK"/>
        </w:rPr>
        <w:t xml:space="preserve">Кога движењето содржи збирна стока (на пример, каде стоката се собира од повеќе локации на извозници на пат до </w:t>
      </w:r>
      <w:r>
        <w:rPr>
          <w:lang w:val="mk-MK"/>
        </w:rPr>
        <w:t>главната појдовна испостава</w:t>
      </w:r>
      <w:r w:rsidRPr="003462B8">
        <w:rPr>
          <w:lang w:val="mk-MK"/>
        </w:rPr>
        <w:t xml:space="preserve"> од каде што ќе започне транзитното движење),:</w:t>
      </w:r>
    </w:p>
    <w:p w14:paraId="19D9E298" w14:textId="4AD44E77" w:rsidR="003462B8" w:rsidRPr="003462B8" w:rsidRDefault="003462B8" w:rsidP="003462B8">
      <w:pPr>
        <w:pStyle w:val="ListParagraph"/>
        <w:numPr>
          <w:ilvl w:val="0"/>
          <w:numId w:val="3"/>
        </w:numPr>
        <w:rPr>
          <w:lang w:val="mk-MK"/>
        </w:rPr>
      </w:pPr>
      <w:r w:rsidRPr="003462B8">
        <w:rPr>
          <w:lang w:val="mk-MK"/>
        </w:rPr>
        <w:t xml:space="preserve">локациите на извозниците ќе бидат декларирани </w:t>
      </w:r>
      <w:r>
        <w:rPr>
          <w:lang w:val="mk-MK"/>
        </w:rPr>
        <w:t xml:space="preserve"> во податоци на ново на испраќач </w:t>
      </w:r>
    </w:p>
    <w:p w14:paraId="5D16259E" w14:textId="68E8AB7F" w:rsidR="00C271E6" w:rsidRPr="00C271E6" w:rsidRDefault="003462B8" w:rsidP="00C271E6">
      <w:pPr>
        <w:pStyle w:val="ListParagraph"/>
        <w:numPr>
          <w:ilvl w:val="0"/>
          <w:numId w:val="3"/>
        </w:numPr>
        <w:rPr>
          <w:lang w:val="mk-MK"/>
        </w:rPr>
      </w:pPr>
      <w:r w:rsidRPr="00C271E6">
        <w:rPr>
          <w:lang w:val="mk-MK"/>
        </w:rPr>
        <w:t xml:space="preserve">стоките собрани од секоја локација ќе бидат наведени под </w:t>
      </w:r>
      <w:r w:rsidR="00C271E6" w:rsidRPr="00C271E6">
        <w:rPr>
          <w:lang w:val="mk-MK"/>
        </w:rPr>
        <w:t>т</w:t>
      </w:r>
      <w:r w:rsidR="00C271E6">
        <w:rPr>
          <w:lang w:val="mk-MK"/>
        </w:rPr>
        <w:t>ие</w:t>
      </w:r>
      <w:r w:rsidR="00C271E6" w:rsidRPr="00C271E6">
        <w:rPr>
          <w:lang w:val="mk-MK"/>
        </w:rPr>
        <w:t xml:space="preserve"> </w:t>
      </w:r>
      <w:r w:rsidR="00C271E6" w:rsidRPr="00C271E6">
        <w:rPr>
          <w:lang w:val="mk-MK"/>
        </w:rPr>
        <w:t xml:space="preserve">податоци на ново на испраќач </w:t>
      </w:r>
    </w:p>
    <w:p w14:paraId="56D699A4" w14:textId="35AE1589" w:rsidR="003462B8" w:rsidRPr="003462B8" w:rsidRDefault="003462B8" w:rsidP="00C271E6">
      <w:pPr>
        <w:pStyle w:val="ListParagraph"/>
        <w:rPr>
          <w:lang w:val="mk-MK"/>
        </w:rPr>
      </w:pPr>
    </w:p>
    <w:p w14:paraId="2DC58A80" w14:textId="01D0F9CE" w:rsidR="003462B8" w:rsidRDefault="003462B8" w:rsidP="003462B8">
      <w:pPr>
        <w:rPr>
          <w:lang w:val="mk-MK"/>
        </w:rPr>
      </w:pPr>
      <w:r w:rsidRPr="003462B8">
        <w:rPr>
          <w:lang w:val="mk-MK"/>
        </w:rPr>
        <w:t>Следниве примери покажуваат како ќе функционира оваа функционалност.</w:t>
      </w:r>
    </w:p>
    <w:p w14:paraId="025CF498" w14:textId="77777777" w:rsidR="00C271E6" w:rsidRPr="00C271E6" w:rsidRDefault="00C271E6" w:rsidP="00C271E6">
      <w:pPr>
        <w:rPr>
          <w:b/>
          <w:bCs/>
        </w:rPr>
      </w:pPr>
      <w:proofErr w:type="spellStart"/>
      <w:r w:rsidRPr="00C271E6">
        <w:rPr>
          <w:b/>
          <w:bCs/>
        </w:rPr>
        <w:t>Повеќе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испраќачи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кои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испраќаат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стоки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до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еден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примач</w:t>
      </w:r>
      <w:proofErr w:type="spellEnd"/>
    </w:p>
    <w:p w14:paraId="43202FA1" w14:textId="77777777" w:rsidR="00C271E6" w:rsidRDefault="00C271E6" w:rsidP="00C271E6">
      <w:proofErr w:type="spellStart"/>
      <w:r>
        <w:t>Една</w:t>
      </w:r>
      <w:proofErr w:type="spellEnd"/>
      <w:r>
        <w:t xml:space="preserve"> </w:t>
      </w:r>
      <w:proofErr w:type="spellStart"/>
      <w:r>
        <w:t>пратка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потекнува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добавувачи</w:t>
      </w:r>
      <w:proofErr w:type="spellEnd"/>
      <w:r>
        <w:t xml:space="preserve"> (</w:t>
      </w:r>
      <w:proofErr w:type="spellStart"/>
      <w:r>
        <w:t>испраќачи</w:t>
      </w:r>
      <w:proofErr w:type="spellEnd"/>
      <w:r>
        <w:t xml:space="preserve">)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преместена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превозникот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одделни</w:t>
      </w:r>
      <w:proofErr w:type="spellEnd"/>
      <w:r>
        <w:t xml:space="preserve"> </w:t>
      </w:r>
      <w:proofErr w:type="spellStart"/>
      <w:r>
        <w:t>добавувачи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домаќинство</w:t>
      </w:r>
      <w:proofErr w:type="spellEnd"/>
      <w:r>
        <w:t xml:space="preserve"> и </w:t>
      </w:r>
      <w:proofErr w:type="spellStart"/>
      <w:r>
        <w:t>облека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малопродажната</w:t>
      </w:r>
      <w:proofErr w:type="spellEnd"/>
      <w:r>
        <w:t xml:space="preserve"> </w:t>
      </w:r>
      <w:proofErr w:type="spellStart"/>
      <w:r>
        <w:t>компанија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преместување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малопродажна</w:t>
      </w:r>
      <w:proofErr w:type="spellEnd"/>
      <w:r>
        <w:t xml:space="preserve"> </w:t>
      </w:r>
      <w:proofErr w:type="spellStart"/>
      <w:r>
        <w:t>продавница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транзитно</w:t>
      </w:r>
      <w:proofErr w:type="spellEnd"/>
      <w:r>
        <w:t xml:space="preserve"> </w:t>
      </w:r>
      <w:proofErr w:type="spellStart"/>
      <w:r>
        <w:t>движење</w:t>
      </w:r>
      <w:proofErr w:type="spellEnd"/>
      <w:r>
        <w:t>.</w:t>
      </w:r>
    </w:p>
    <w:p w14:paraId="44D0071C" w14:textId="77777777" w:rsidR="00C271E6" w:rsidRDefault="00C271E6" w:rsidP="00C271E6"/>
    <w:p w14:paraId="7BADA2EC" w14:textId="77777777" w:rsidR="00C271E6" w:rsidRDefault="00C271E6" w:rsidP="00C271E6"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, </w:t>
      </w:r>
      <w:proofErr w:type="spellStart"/>
      <w:r>
        <w:t>превозникот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организира</w:t>
      </w:r>
      <w:proofErr w:type="spellEnd"/>
      <w:r>
        <w:t xml:space="preserve"> </w:t>
      </w:r>
      <w:proofErr w:type="spellStart"/>
      <w:r>
        <w:t>движењето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малопродажната</w:t>
      </w:r>
      <w:proofErr w:type="spellEnd"/>
      <w:r>
        <w:t xml:space="preserve"> </w:t>
      </w:r>
      <w:proofErr w:type="spellStart"/>
      <w:r>
        <w:t>продавница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носител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подигне</w:t>
      </w:r>
      <w:proofErr w:type="spellEnd"/>
      <w:r>
        <w:t xml:space="preserve"> </w:t>
      </w:r>
      <w:proofErr w:type="spellStart"/>
      <w:r>
        <w:t>единствена</w:t>
      </w:r>
      <w:proofErr w:type="spellEnd"/>
      <w:r>
        <w:t xml:space="preserve"> </w:t>
      </w:r>
      <w:proofErr w:type="spellStart"/>
      <w:r>
        <w:t>транзитна</w:t>
      </w:r>
      <w:proofErr w:type="spellEnd"/>
      <w:r>
        <w:t xml:space="preserve"> </w:t>
      </w:r>
      <w:proofErr w:type="spellStart"/>
      <w:r>
        <w:t>декларација</w:t>
      </w:r>
      <w:proofErr w:type="spellEnd"/>
      <w:r>
        <w:t>.</w:t>
      </w:r>
    </w:p>
    <w:p w14:paraId="4F502B33" w14:textId="77777777" w:rsidR="00C271E6" w:rsidRDefault="00C271E6" w:rsidP="00C271E6"/>
    <w:p w14:paraId="519619EB" w14:textId="3C2785DB" w:rsidR="00C271E6" w:rsidRDefault="00C271E6" w:rsidP="00C271E6">
      <w:proofErr w:type="spellStart"/>
      <w:r>
        <w:t>Тие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вклучиле</w:t>
      </w:r>
      <w:proofErr w:type="spellEnd"/>
      <w:r>
        <w:t xml:space="preserve"> </w:t>
      </w:r>
      <w:proofErr w:type="spellStart"/>
      <w:r>
        <w:t>добавувачите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домашниот</w:t>
      </w:r>
      <w:proofErr w:type="spellEnd"/>
      <w:r>
        <w:t xml:space="preserve"> </w:t>
      </w:r>
      <w:proofErr w:type="spellStart"/>
      <w:r>
        <w:t>прибор</w:t>
      </w:r>
      <w:proofErr w:type="spellEnd"/>
      <w:r>
        <w:t xml:space="preserve"> и </w:t>
      </w:r>
      <w:proofErr w:type="spellStart"/>
      <w:r>
        <w:t>облеката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домашни</w:t>
      </w:r>
      <w:proofErr w:type="spellEnd"/>
      <w:r>
        <w:t xml:space="preserve"> </w:t>
      </w:r>
      <w:proofErr w:type="spellStart"/>
      <w:r>
        <w:t>испраќачи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наведат</w:t>
      </w:r>
      <w:proofErr w:type="spellEnd"/>
      <w:r>
        <w:t xml:space="preserve"> </w:t>
      </w:r>
      <w:proofErr w:type="spellStart"/>
      <w:r>
        <w:t>артиклите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снабдувале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r>
        <w:rPr>
          <w:lang w:val="mk-MK"/>
        </w:rPr>
        <w:t>податоци на испраќач</w:t>
      </w:r>
      <w:r>
        <w:t>.</w:t>
      </w:r>
    </w:p>
    <w:p w14:paraId="066D36C6" w14:textId="77777777" w:rsidR="00C271E6" w:rsidRDefault="00C271E6" w:rsidP="00C271E6"/>
    <w:p w14:paraId="26DAFAB6" w14:textId="7CA6C146" w:rsidR="00C271E6" w:rsidRDefault="00C271E6" w:rsidP="00C271E6">
      <w:proofErr w:type="spellStart"/>
      <w:r>
        <w:t>Компанијата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малопродажба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пратка</w:t>
      </w:r>
      <w:proofErr w:type="spellEnd"/>
      <w:r>
        <w:t xml:space="preserve">). </w:t>
      </w:r>
      <w:proofErr w:type="spellStart"/>
      <w:r>
        <w:t>Транзитното</w:t>
      </w:r>
      <w:proofErr w:type="spellEnd"/>
      <w:r>
        <w:t xml:space="preserve"> </w:t>
      </w:r>
      <w:proofErr w:type="spellStart"/>
      <w:r>
        <w:t>движење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 xml:space="preserve"> </w:t>
      </w:r>
      <w:r>
        <w:rPr>
          <w:lang w:val="mk-MK"/>
        </w:rPr>
        <w:t xml:space="preserve">во редовна постапка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поедноставен</w:t>
      </w:r>
      <w:proofErr w:type="spellEnd"/>
      <w:r>
        <w:rPr>
          <w:lang w:val="mk-MK"/>
        </w:rPr>
        <w:t>а постапка</w:t>
      </w:r>
      <w:r>
        <w:t>.</w:t>
      </w:r>
    </w:p>
    <w:p w14:paraId="39D0D51C" w14:textId="77777777" w:rsidR="00C271E6" w:rsidRPr="00C271E6" w:rsidRDefault="00C271E6" w:rsidP="00C271E6">
      <w:pPr>
        <w:rPr>
          <w:b/>
          <w:bCs/>
        </w:rPr>
      </w:pPr>
    </w:p>
    <w:p w14:paraId="1B8C6778" w14:textId="77777777" w:rsidR="00C271E6" w:rsidRPr="00C271E6" w:rsidRDefault="00C271E6" w:rsidP="00C271E6">
      <w:pPr>
        <w:rPr>
          <w:b/>
          <w:bCs/>
        </w:rPr>
      </w:pPr>
      <w:proofErr w:type="spellStart"/>
      <w:r w:rsidRPr="00C271E6">
        <w:rPr>
          <w:b/>
          <w:bCs/>
        </w:rPr>
        <w:t>Повеќе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испраќачи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кои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испраќаат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стоки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до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повеќе</w:t>
      </w:r>
      <w:proofErr w:type="spellEnd"/>
      <w:r w:rsidRPr="00C271E6">
        <w:rPr>
          <w:b/>
          <w:bCs/>
        </w:rPr>
        <w:t xml:space="preserve"> </w:t>
      </w:r>
      <w:proofErr w:type="spellStart"/>
      <w:r w:rsidRPr="00C271E6">
        <w:rPr>
          <w:b/>
          <w:bCs/>
        </w:rPr>
        <w:t>примачи</w:t>
      </w:r>
      <w:proofErr w:type="spellEnd"/>
    </w:p>
    <w:p w14:paraId="746A2754" w14:textId="3490560D" w:rsidR="00C271E6" w:rsidRDefault="00C271E6" w:rsidP="00C271E6">
      <w:r>
        <w:rPr>
          <w:lang w:val="mk-MK"/>
        </w:rPr>
        <w:t>ЕО</w:t>
      </w:r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пријават</w:t>
      </w:r>
      <w:proofErr w:type="spellEnd"/>
      <w:r>
        <w:t xml:space="preserve"> </w:t>
      </w:r>
      <w:proofErr w:type="spellStart"/>
      <w:r>
        <w:t>каква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комбинација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испраќачи</w:t>
      </w:r>
      <w:proofErr w:type="spellEnd"/>
      <w:r>
        <w:t xml:space="preserve"> и </w:t>
      </w:r>
      <w:proofErr w:type="spellStart"/>
      <w:r>
        <w:t>примачи</w:t>
      </w:r>
      <w:proofErr w:type="spellEnd"/>
      <w:r>
        <w:t xml:space="preserve"> </w:t>
      </w:r>
      <w:r>
        <w:rPr>
          <w:lang w:val="mk-MK"/>
        </w:rPr>
        <w:t xml:space="preserve"> на </w:t>
      </w:r>
      <w:proofErr w:type="spellStart"/>
      <w:r w:rsidRPr="00C271E6">
        <w:t>ниво</w:t>
      </w:r>
      <w:proofErr w:type="spellEnd"/>
      <w:r w:rsidRPr="00C271E6">
        <w:t xml:space="preserve"> </w:t>
      </w:r>
      <w:proofErr w:type="spellStart"/>
      <w:r w:rsidRPr="00C271E6">
        <w:t>на</w:t>
      </w:r>
      <w:proofErr w:type="spellEnd"/>
      <w:r w:rsidRPr="00C271E6">
        <w:t xml:space="preserve"> </w:t>
      </w:r>
      <w:proofErr w:type="spellStart"/>
      <w:r w:rsidRPr="00C271E6">
        <w:t>податоци</w:t>
      </w:r>
      <w:proofErr w:type="spellEnd"/>
      <w:r w:rsidRPr="00C271E6">
        <w:t xml:space="preserve"> </w:t>
      </w:r>
      <w:proofErr w:type="spellStart"/>
      <w:r w:rsidRPr="00C271E6">
        <w:t>на</w:t>
      </w:r>
      <w:proofErr w:type="spellEnd"/>
      <w:r w:rsidRPr="00C271E6">
        <w:t xml:space="preserve"> </w:t>
      </w:r>
      <w:proofErr w:type="spellStart"/>
      <w:r w:rsidRPr="00C271E6">
        <w:t>испраќач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r w:rsidR="009D10FC">
        <w:rPr>
          <w:lang w:val="mk-MK"/>
        </w:rPr>
        <w:t>ЕО</w:t>
      </w:r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транзит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консолидирање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добавувачи</w:t>
      </w:r>
      <w:proofErr w:type="spellEnd"/>
      <w:r>
        <w:t xml:space="preserve"> (</w:t>
      </w:r>
      <w:proofErr w:type="spellStart"/>
      <w:r>
        <w:t>испраќачи</w:t>
      </w:r>
      <w:proofErr w:type="spellEnd"/>
      <w:r>
        <w:t xml:space="preserve">) </w:t>
      </w:r>
      <w:proofErr w:type="spellStart"/>
      <w:r>
        <w:t>наменети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 (</w:t>
      </w:r>
      <w:proofErr w:type="spellStart"/>
      <w:r>
        <w:t>примачи</w:t>
      </w:r>
      <w:proofErr w:type="spellEnd"/>
      <w:r>
        <w:t xml:space="preserve">)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пријавување</w:t>
      </w:r>
      <w:proofErr w:type="spellEnd"/>
      <w:r>
        <w:t xml:space="preserve"> </w:t>
      </w:r>
      <w:proofErr w:type="spellStart"/>
      <w:r>
        <w:t>посебн</w:t>
      </w:r>
      <w:proofErr w:type="spellEnd"/>
      <w:r w:rsidR="009D10FC">
        <w:rPr>
          <w:lang w:val="mk-MK"/>
        </w:rPr>
        <w:t>о на</w:t>
      </w:r>
      <w:r w:rsidR="009D10FC" w:rsidRPr="009D10FC">
        <w:t xml:space="preserve"> </w:t>
      </w:r>
      <w:r w:rsidR="009D10FC" w:rsidRPr="009D10FC">
        <w:rPr>
          <w:lang w:val="mk-MK"/>
        </w:rPr>
        <w:t>ниво на податоци на испраќач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комбинација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испраќач</w:t>
      </w:r>
      <w:proofErr w:type="spellEnd"/>
      <w:r>
        <w:t xml:space="preserve"> и </w:t>
      </w:r>
      <w:proofErr w:type="spellStart"/>
      <w:r>
        <w:t>примач</w:t>
      </w:r>
      <w:proofErr w:type="spellEnd"/>
      <w:r>
        <w:t>.</w:t>
      </w:r>
    </w:p>
    <w:p w14:paraId="2773BF52" w14:textId="77777777" w:rsidR="00C271E6" w:rsidRDefault="00C271E6" w:rsidP="00C271E6"/>
    <w:p w14:paraId="1E7F85BB" w14:textId="6815720C" w:rsidR="00C271E6" w:rsidRDefault="00C271E6" w:rsidP="00C271E6"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, </w:t>
      </w:r>
      <w:proofErr w:type="spellStart"/>
      <w:r>
        <w:t>товарите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консолидираат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подигнат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движење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Појдовната</w:t>
      </w:r>
      <w:proofErr w:type="spellEnd"/>
      <w:r>
        <w:t xml:space="preserve"> </w:t>
      </w:r>
      <w:r w:rsidR="009D10FC">
        <w:rPr>
          <w:lang w:val="mk-MK"/>
        </w:rPr>
        <w:t>испостава</w:t>
      </w:r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овластен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t>).</w:t>
      </w:r>
    </w:p>
    <w:p w14:paraId="1D3A21B7" w14:textId="77777777" w:rsidR="00C271E6" w:rsidRDefault="00C271E6" w:rsidP="00C271E6"/>
    <w:p w14:paraId="5A2C2798" w14:textId="0BDD60E3" w:rsidR="00C271E6" w:rsidRDefault="00C271E6" w:rsidP="00C271E6">
      <w:proofErr w:type="spellStart"/>
      <w:r>
        <w:t>По</w:t>
      </w:r>
      <w:proofErr w:type="spellEnd"/>
      <w:r>
        <w:t xml:space="preserve"> </w:t>
      </w:r>
      <w:proofErr w:type="spellStart"/>
      <w:r>
        <w:t>пристигнувањето</w:t>
      </w:r>
      <w:proofErr w:type="spellEnd"/>
      <w:r>
        <w:t xml:space="preserve">, </w:t>
      </w:r>
      <w:proofErr w:type="spellStart"/>
      <w:r>
        <w:t>целото</w:t>
      </w:r>
      <w:proofErr w:type="spellEnd"/>
      <w:r>
        <w:t xml:space="preserve"> </w:t>
      </w:r>
      <w:proofErr w:type="spellStart"/>
      <w:r>
        <w:t>движење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 „</w:t>
      </w:r>
      <w:proofErr w:type="spellStart"/>
      <w:proofErr w:type="gramEnd"/>
      <w:r>
        <w:t>пристигне</w:t>
      </w:r>
      <w:proofErr w:type="spellEnd"/>
      <w:r>
        <w:t xml:space="preserve">“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движење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одредиш</w:t>
      </w:r>
      <w:proofErr w:type="spellEnd"/>
      <w:r w:rsidR="009D10FC">
        <w:rPr>
          <w:lang w:val="mk-MK"/>
        </w:rPr>
        <w:t>на испостава</w:t>
      </w:r>
      <w:r>
        <w:t xml:space="preserve"> (и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овластена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примачот</w:t>
      </w:r>
      <w:proofErr w:type="spellEnd"/>
      <w:r>
        <w:t>).</w:t>
      </w:r>
    </w:p>
    <w:p w14:paraId="6AF7E24F" w14:textId="77777777" w:rsidR="00C271E6" w:rsidRDefault="00C271E6" w:rsidP="00C271E6"/>
    <w:p w14:paraId="42B1E6B6" w14:textId="72FB1C17" w:rsidR="00C271E6" w:rsidRDefault="00C271E6" w:rsidP="00C271E6">
      <w:proofErr w:type="spellStart"/>
      <w:r>
        <w:t>Откако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започне</w:t>
      </w:r>
      <w:proofErr w:type="spellEnd"/>
      <w:r>
        <w:t xml:space="preserve"> </w:t>
      </w:r>
      <w:proofErr w:type="spellStart"/>
      <w:r>
        <w:t>процесот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пристигнување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обезбедат</w:t>
      </w:r>
      <w:proofErr w:type="spellEnd"/>
      <w:r>
        <w:t xml:space="preserve"> </w:t>
      </w:r>
      <w:proofErr w:type="spellStart"/>
      <w:r>
        <w:t>забелешките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истовар</w:t>
      </w:r>
      <w:proofErr w:type="spellEnd"/>
      <w:r>
        <w:t xml:space="preserve">,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ослободи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транзит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9D10FC">
        <w:rPr>
          <w:lang w:val="mk-MK"/>
        </w:rPr>
        <w:t xml:space="preserve">пушти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понатамошна</w:t>
      </w:r>
      <w:proofErr w:type="spellEnd"/>
      <w:r>
        <w:t xml:space="preserve"> </w:t>
      </w:r>
      <w:proofErr w:type="spellStart"/>
      <w:r>
        <w:t>дистрибуција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примачи</w:t>
      </w:r>
      <w:proofErr w:type="spellEnd"/>
      <w:r>
        <w:t>.</w:t>
      </w:r>
    </w:p>
    <w:p w14:paraId="70BCDB9B" w14:textId="77777777" w:rsidR="009D10FC" w:rsidRDefault="009D10FC" w:rsidP="00C271E6">
      <w:pPr>
        <w:rPr>
          <w:b/>
          <w:bCs/>
          <w:lang w:val="mk-MK"/>
        </w:rPr>
      </w:pPr>
    </w:p>
    <w:p w14:paraId="3C58DBFC" w14:textId="2671A467" w:rsidR="00C271E6" w:rsidRPr="009D10FC" w:rsidRDefault="00C271E6" w:rsidP="00C271E6">
      <w:pPr>
        <w:rPr>
          <w:b/>
          <w:bCs/>
        </w:rPr>
      </w:pPr>
      <w:proofErr w:type="spellStart"/>
      <w:r w:rsidRPr="009D10FC">
        <w:rPr>
          <w:b/>
          <w:bCs/>
        </w:rPr>
        <w:t>Кога</w:t>
      </w:r>
      <w:proofErr w:type="spellEnd"/>
      <w:r w:rsidRPr="009D10FC">
        <w:rPr>
          <w:b/>
          <w:bCs/>
        </w:rPr>
        <w:t xml:space="preserve"> </w:t>
      </w:r>
      <w:proofErr w:type="spellStart"/>
      <w:r w:rsidRPr="009D10FC">
        <w:rPr>
          <w:b/>
          <w:bCs/>
        </w:rPr>
        <w:t>вашата</w:t>
      </w:r>
      <w:proofErr w:type="spellEnd"/>
      <w:r w:rsidRPr="009D10FC">
        <w:rPr>
          <w:b/>
          <w:bCs/>
        </w:rPr>
        <w:t xml:space="preserve"> </w:t>
      </w:r>
      <w:proofErr w:type="spellStart"/>
      <w:r w:rsidRPr="009D10FC">
        <w:rPr>
          <w:b/>
          <w:bCs/>
        </w:rPr>
        <w:t>декларација</w:t>
      </w:r>
      <w:proofErr w:type="spellEnd"/>
      <w:r w:rsidRPr="009D10FC">
        <w:rPr>
          <w:b/>
          <w:bCs/>
        </w:rPr>
        <w:t xml:space="preserve"> </w:t>
      </w:r>
      <w:proofErr w:type="spellStart"/>
      <w:r w:rsidRPr="009D10FC">
        <w:rPr>
          <w:b/>
          <w:bCs/>
        </w:rPr>
        <w:t>може</w:t>
      </w:r>
      <w:proofErr w:type="spellEnd"/>
      <w:r w:rsidRPr="009D10FC">
        <w:rPr>
          <w:b/>
          <w:bCs/>
        </w:rPr>
        <w:t xml:space="preserve"> </w:t>
      </w:r>
      <w:proofErr w:type="spellStart"/>
      <w:r w:rsidRPr="009D10FC">
        <w:rPr>
          <w:b/>
          <w:bCs/>
        </w:rPr>
        <w:t>да</w:t>
      </w:r>
      <w:proofErr w:type="spellEnd"/>
      <w:r w:rsidRPr="009D10FC">
        <w:rPr>
          <w:b/>
          <w:bCs/>
        </w:rPr>
        <w:t xml:space="preserve"> </w:t>
      </w:r>
      <w:proofErr w:type="spellStart"/>
      <w:r w:rsidRPr="009D10FC">
        <w:rPr>
          <w:b/>
          <w:bCs/>
        </w:rPr>
        <w:t>биде</w:t>
      </w:r>
      <w:proofErr w:type="spellEnd"/>
      <w:r w:rsidRPr="009D10FC">
        <w:rPr>
          <w:b/>
          <w:bCs/>
        </w:rPr>
        <w:t xml:space="preserve"> </w:t>
      </w:r>
      <w:proofErr w:type="spellStart"/>
      <w:r w:rsidRPr="009D10FC">
        <w:rPr>
          <w:b/>
          <w:bCs/>
        </w:rPr>
        <w:t>одбиена</w:t>
      </w:r>
      <w:proofErr w:type="spellEnd"/>
    </w:p>
    <w:p w14:paraId="606EA8E4" w14:textId="0FC7D882" w:rsidR="00796D6F" w:rsidRDefault="00C271E6" w:rsidP="00C271E6">
      <w:proofErr w:type="spellStart"/>
      <w:r>
        <w:t>Ако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испраќач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t xml:space="preserve"> е </w:t>
      </w:r>
      <w:proofErr w:type="spellStart"/>
      <w:r>
        <w:t>пријавен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движење</w:t>
      </w:r>
      <w:proofErr w:type="spellEnd"/>
      <w:r>
        <w:t xml:space="preserve">, </w:t>
      </w:r>
      <w:proofErr w:type="gramStart"/>
      <w:r w:rsidR="009D10FC">
        <w:rPr>
          <w:lang w:val="mk-MK"/>
        </w:rPr>
        <w:t xml:space="preserve">податиците </w:t>
      </w:r>
      <w:r>
        <w:t xml:space="preserve"> </w:t>
      </w:r>
      <w:proofErr w:type="spellStart"/>
      <w:r>
        <w:t>мора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</w:t>
      </w:r>
      <w:proofErr w:type="spellEnd"/>
      <w:r w:rsidR="009D10FC">
        <w:rPr>
          <w:lang w:val="mk-MK"/>
        </w:rPr>
        <w:t>ат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целокупното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пратка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е </w:t>
      </w:r>
      <w:proofErr w:type="spellStart"/>
      <w:r>
        <w:t>затоа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</w:t>
      </w:r>
      <w:proofErr w:type="spellStart"/>
      <w:r>
        <w:t>декларирани</w:t>
      </w:r>
      <w:proofErr w:type="spellEnd"/>
      <w:r>
        <w:t xml:space="preserve"> </w:t>
      </w:r>
      <w:r w:rsidR="009D10FC">
        <w:rPr>
          <w:lang w:val="mk-MK"/>
        </w:rPr>
        <w:t>на ниво на пратка</w:t>
      </w:r>
      <w:r>
        <w:t xml:space="preserve">.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r w:rsidR="009D10FC">
        <w:rPr>
          <w:lang w:val="mk-MK"/>
        </w:rPr>
        <w:t>доставите</w:t>
      </w:r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 w:rsidR="009D10FC">
        <w:rPr>
          <w:lang w:val="mk-MK"/>
        </w:rPr>
        <w:t xml:space="preserve"> на</w:t>
      </w:r>
      <w:r>
        <w:t xml:space="preserve"> </w:t>
      </w:r>
      <w:proofErr w:type="spellStart"/>
      <w:r>
        <w:t>ниво</w:t>
      </w:r>
      <w:proofErr w:type="spellEnd"/>
      <w:r w:rsidR="009D10FC">
        <w:rPr>
          <w:lang w:val="mk-MK"/>
        </w:rPr>
        <w:t xml:space="preserve"> на пратка</w:t>
      </w:r>
      <w:r>
        <w:t xml:space="preserve">, вашата </w:t>
      </w:r>
      <w:proofErr w:type="spellStart"/>
      <w:r>
        <w:t>декларација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одбиена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прекршување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техничките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C0001, C0542 и R0506.</w:t>
      </w:r>
    </w:p>
    <w:p w14:paraId="5094C49D" w14:textId="6C9B7729" w:rsidR="00796D6F" w:rsidRDefault="00796D6F" w:rsidP="00796D6F"/>
    <w:sectPr w:rsidR="00796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580"/>
    <w:multiLevelType w:val="hybridMultilevel"/>
    <w:tmpl w:val="7F766C60"/>
    <w:lvl w:ilvl="0" w:tplc="237A6F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8E"/>
    <w:multiLevelType w:val="hybridMultilevel"/>
    <w:tmpl w:val="9F040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F597D"/>
    <w:multiLevelType w:val="hybridMultilevel"/>
    <w:tmpl w:val="B078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12903">
    <w:abstractNumId w:val="0"/>
  </w:num>
  <w:num w:numId="2" w16cid:durableId="458883126">
    <w:abstractNumId w:val="1"/>
  </w:num>
  <w:num w:numId="3" w16cid:durableId="82339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6F"/>
    <w:rsid w:val="0022138E"/>
    <w:rsid w:val="003102FA"/>
    <w:rsid w:val="003462B8"/>
    <w:rsid w:val="00485BDF"/>
    <w:rsid w:val="00632B1B"/>
    <w:rsid w:val="00722EAD"/>
    <w:rsid w:val="00796D6F"/>
    <w:rsid w:val="007D6FA1"/>
    <w:rsid w:val="009D10FC"/>
    <w:rsid w:val="009E6D03"/>
    <w:rsid w:val="00A61862"/>
    <w:rsid w:val="00AE39EB"/>
    <w:rsid w:val="00C13353"/>
    <w:rsid w:val="00C271E6"/>
    <w:rsid w:val="00E72EDC"/>
    <w:rsid w:val="00F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1C94"/>
  <w15:chartTrackingRefBased/>
  <w15:docId w15:val="{2523D66C-0DEE-4055-9403-B698A08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6F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D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D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D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Golemteova-Kalinikova</dc:creator>
  <cp:keywords/>
  <dc:description/>
  <cp:lastModifiedBy>Elena Golemteova-Kalinikova</cp:lastModifiedBy>
  <cp:revision>1</cp:revision>
  <dcterms:created xsi:type="dcterms:W3CDTF">2025-01-17T13:19:00Z</dcterms:created>
  <dcterms:modified xsi:type="dcterms:W3CDTF">2025-01-17T14:00:00Z</dcterms:modified>
</cp:coreProperties>
</file>